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6" w:rsidRDefault="00055814">
      <w:pPr>
        <w:rPr>
          <w:b/>
        </w:rPr>
      </w:pPr>
      <w:proofErr w:type="gramStart"/>
      <w:r>
        <w:rPr>
          <w:b/>
        </w:rPr>
        <w:t>Contenidos ,</w:t>
      </w:r>
      <w:proofErr w:type="gramEnd"/>
      <w:r>
        <w:rPr>
          <w:b/>
        </w:rPr>
        <w:t xml:space="preserve"> criterios de evaluación y estándares de aprendizaje evaluables del bloque de Estructura de la materia: El átomo, el Sistema periódico y Enlace Químico</w:t>
      </w:r>
    </w:p>
    <w:tbl>
      <w:tblPr>
        <w:tblStyle w:val="Tablaconcuadrcula"/>
        <w:tblW w:w="0" w:type="auto"/>
        <w:tblLook w:val="04A0"/>
      </w:tblPr>
      <w:tblGrid>
        <w:gridCol w:w="2920"/>
        <w:gridCol w:w="2894"/>
        <w:gridCol w:w="2906"/>
      </w:tblGrid>
      <w:tr w:rsidR="00055814" w:rsidRPr="009926E9" w:rsidTr="00055814">
        <w:tc>
          <w:tcPr>
            <w:tcW w:w="8720" w:type="dxa"/>
            <w:gridSpan w:val="3"/>
          </w:tcPr>
          <w:p w:rsidR="00055814" w:rsidRPr="009926E9" w:rsidRDefault="00055814" w:rsidP="008F3177">
            <w:pPr>
              <w:tabs>
                <w:tab w:val="right" w:pos="140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Bloque 2. Origen y evolución de los componentes del Universo</w:t>
            </w:r>
          </w:p>
        </w:tc>
      </w:tr>
      <w:tr w:rsidR="00055814" w:rsidRPr="009926E9" w:rsidTr="00055814">
        <w:tc>
          <w:tcPr>
            <w:tcW w:w="2920" w:type="dxa"/>
          </w:tcPr>
          <w:p w:rsidR="00055814" w:rsidRP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Contenidos</w:t>
            </w:r>
          </w:p>
        </w:tc>
        <w:tc>
          <w:tcPr>
            <w:tcW w:w="2894" w:type="dxa"/>
          </w:tcPr>
          <w:p w:rsidR="00055814" w:rsidRP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814">
              <w:rPr>
                <w:rFonts w:ascii="Times New Roman" w:hAnsi="Times New Roman" w:cs="Times New Roman"/>
                <w:b/>
                <w:color w:val="000000"/>
              </w:rPr>
              <w:t>Criterios de evaluación</w:t>
            </w:r>
          </w:p>
        </w:tc>
        <w:tc>
          <w:tcPr>
            <w:tcW w:w="2906" w:type="dxa"/>
          </w:tcPr>
          <w:p w:rsidR="00055814" w:rsidRP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814">
              <w:rPr>
                <w:rFonts w:ascii="Times New Roman" w:hAnsi="Times New Roman" w:cs="Times New Roman"/>
                <w:b/>
                <w:color w:val="000000"/>
              </w:rPr>
              <w:t>Estándares de aprendizaje evaluables</w:t>
            </w:r>
          </w:p>
        </w:tc>
      </w:tr>
      <w:tr w:rsidR="00055814" w:rsidRPr="009926E9" w:rsidTr="00055814">
        <w:tc>
          <w:tcPr>
            <w:tcW w:w="2920" w:type="dxa"/>
          </w:tcPr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Estructura de la materia.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Hipótesis de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Planck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Modelo atómico de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Bohr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. Mecánica cuántica: Hipótesis de De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Broglie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, Principio de Incertidumbre de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Heisenberg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. Orbitales atómicos. Números cuánticos y su interpretación. Partículas subatómicas: origen del Universo.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>Clasificación de los elementos según su estructura electrónica: Sistema Periódico. Propiedades de los elementos según su posición en el Sistema Periódico: energía de ionización, afinidad electrónica, electronegatividad, radio atómico.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Enlace químico. Enlace iónico. Propiedades de las sustancias con enlace iónico.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Enlace covalente. Geometría y polaridad de las moléculas. Teoría del enlace de valencia (TEV) e hibridación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926E9">
              <w:rPr>
                <w:rFonts w:ascii="Times New Roman" w:hAnsi="Times New Roman" w:cs="Times New Roman"/>
                <w:color w:val="000000"/>
              </w:rPr>
              <w:t xml:space="preserve"> Teoría de repulsión de pares electrónicos de la capa de valencia (TRPECV) Propiedades de las sustancias con enlace covalente.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Enlace metálico. Modelo del gas electrónico y teoría de bandas. Propiedades de los metales. Aplicaciones de supe</w:t>
            </w:r>
            <w:r>
              <w:rPr>
                <w:rFonts w:ascii="Times New Roman" w:hAnsi="Times New Roman" w:cs="Times New Roman"/>
                <w:color w:val="000000"/>
              </w:rPr>
              <w:t>rconductores y semiconductores.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Enlaces presentes en sustancias de interés biológico. </w:t>
            </w:r>
          </w:p>
          <w:p w:rsidR="00055814" w:rsidRPr="009926E9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Naturaleza de las fuerzas intermoleculares. </w:t>
            </w:r>
          </w:p>
        </w:tc>
        <w:tc>
          <w:tcPr>
            <w:tcW w:w="2894" w:type="dxa"/>
          </w:tcPr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1. Analizar cronológicamente los modelos atómicos hasta llegar al modelo actual discutiendo sus limitaciones y la necesitad de uno nuevo.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2. Reconocer la importancia de la teoría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mecanocuántica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 para el conocimiento del átomo.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3. Explicar los conceptos básicos de la mecánica cuántica: dualidad onda-corpúsculo e incertidumbre. 4. Describir las características fundamentales de las partículas subatómicas diferenciando los distintos tipos.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>5. Establecer la configuración electrónica de un átomo relacionándola con su posición en la Tabla Periódica.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6. Identificar los números cuánticos para un electrón según en el orbital en el que se encuentre.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>7. Conocer la estructura básica del Sistema Periódico actual, definir las propiedades periódicas estudiadas y describir su variación a lo largo de un grupo o periodo. 8. Utilizar el modelo de enlace correspondiente para explicar la formación de moléculas, de cristales y estructuras macroscópicas y deducir sus propiedades.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9. Construir ciclos energéticos del tipo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Born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-Haber para calcular la energía de red, analizando de forma cualitativa la variación de energía de red en diferentes compuestos.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10. Describir las características básicas del </w:t>
            </w:r>
            <w:r w:rsidRPr="009926E9">
              <w:rPr>
                <w:rFonts w:ascii="Times New Roman" w:hAnsi="Times New Roman" w:cs="Times New Roman"/>
                <w:color w:val="000000"/>
              </w:rPr>
              <w:lastRenderedPageBreak/>
              <w:t>enlace covalente empleando diagramas de Lewis y utilizar la TEV para su descripción más compleja.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11. Emplear la teoría de la hibridación para explicar el enlace covalente y la geometría de distintas moléculas.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12. Conocer las propiedades de los metales empleando las diferentes teorías estudiadas para la formación del enlace metálico. 13. Explicar la posible conductividad eléctrica de un metal</w:t>
            </w:r>
            <w:r>
              <w:rPr>
                <w:rFonts w:ascii="Times New Roman" w:hAnsi="Times New Roman" w:cs="Times New Roman"/>
                <w:color w:val="000000"/>
              </w:rPr>
              <w:t xml:space="preserve"> empleando la teoría de bandas.</w:t>
            </w:r>
          </w:p>
          <w:p w:rsidR="00055814" w:rsidRPr="009926E9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>14. Reconocer los diferentes tipos de fuerzas intermoleculares y explicar cómo afectan a las propiedades de determinados com</w:t>
            </w:r>
            <w:r>
              <w:rPr>
                <w:rFonts w:ascii="Times New Roman" w:hAnsi="Times New Roman" w:cs="Times New Roman"/>
                <w:color w:val="000000"/>
              </w:rPr>
              <w:t xml:space="preserve">puestos en casos concretos. 15. </w:t>
            </w:r>
            <w:r w:rsidRPr="009926E9">
              <w:rPr>
                <w:rFonts w:ascii="Times New Roman" w:hAnsi="Times New Roman" w:cs="Times New Roman"/>
                <w:color w:val="000000"/>
              </w:rPr>
              <w:t xml:space="preserve">Diferenciar las fuerzas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intramoleculares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 de las intermoleculares en compuestos iónicos o covalentes. </w:t>
            </w:r>
          </w:p>
        </w:tc>
        <w:tc>
          <w:tcPr>
            <w:tcW w:w="2906" w:type="dxa"/>
          </w:tcPr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lastRenderedPageBreak/>
              <w:t xml:space="preserve">1.1. Explica las limitaciones de los distintos modelos atómicos relacionándolo con los distintos hechos experimentales que llevan asociados.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1.2. Calcula el valor energético correspondiente a una transición electrónica entre dos niveles dados relacionándolo con la interpretación de los espectros atómicos.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2.1. Diferencia el significado de los números cuánticos según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Bohr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 y la teoría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mecanocuántica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 que define el modelo atómico actual, relacionándolo con el concepto de órbita y orbital.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3.1. Determina longitudes de onda asociadas a partículas en movimiento para justificar el comportamiento ondulatorio de los electrones.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3.2. Justifica el carácter probabilístico del estudio de partículas atómicas a partir del principio de incertidumbre de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Heisenberg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4.1. Conoce las partículas subatómicas y los tipos de quarks presentes en la naturaleza íntima de la materia y en el origen primigenio del Universo, explicando las características y clasificación de los mismos.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5.1. Determina la configuración electrónica de un átomo, conocida su posición en la Tabla Periódica y los números cuánticos posibles del electrón diferenciador.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6.1. Justifica la reactividad de un elemento a partir de la estructura electrónica o su </w:t>
            </w:r>
            <w:r w:rsidRPr="009926E9">
              <w:rPr>
                <w:rFonts w:ascii="Times New Roman" w:hAnsi="Times New Roman" w:cs="Times New Roman"/>
                <w:color w:val="000000"/>
              </w:rPr>
              <w:lastRenderedPageBreak/>
              <w:t xml:space="preserve">posición en la Tabla Periódica.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>7.1. Argumenta la variación del radio atómico, potencial de ionización, afinidad electrónica y electronegatividad en grupos y periodos, comparando dichas propiedades para elementos diferentes.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8.1. Justifica la estabilidad de las moléculas o cristales formados empleando la regla del octeto o basándose en las interacciones de los electrones de la capa de valencia para la formación de los enlaces.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9.1. Aplica el ciclo de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Born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>-Haber para el cálculo de la energía reticular de cristales iónicos.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9.2. Compara la fortaleza del enlace en distintos compuestos iónicos aplicando la fórmula de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Born-Landé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 para considerar los factores de los que depende la energía reticular.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>10.1. Determina la polaridad de una molécula utilizando el modelo o teoría más adecuados para explicar su geometría.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10.2. Representa la geometría molecular de distintas sustancias covalentes aplicando la TEV y la TRPECV.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11.1. Da sentido a los parámetros moleculares en compuestos covalentes utilizando la teoría de hibridación para compuestos inorgánicos y orgánicos.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12.1. Explica la conductividad eléctrica y térmica mediante el modelo del gas electrónico aplicándolo también a sustancias semiconductoras y superconductoras.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13.1. Describe el comportamiento de un elemento como aislante, conductor o semiconductor eléctrico utilizando la teoría </w:t>
            </w:r>
            <w:r w:rsidRPr="009926E9">
              <w:rPr>
                <w:rFonts w:ascii="Times New Roman" w:hAnsi="Times New Roman" w:cs="Times New Roman"/>
                <w:color w:val="000000"/>
              </w:rPr>
              <w:lastRenderedPageBreak/>
              <w:t xml:space="preserve">de bandas. 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>13.2. Conoce y explica algunas aplicaciones de los semiconductores y superconductores analizando su repercusión en el avance tecnológico de la sociedad.</w:t>
            </w:r>
          </w:p>
          <w:p w:rsidR="00055814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 14.1. Justifica la influencia de las fuerzas intermoleculares para explicar cómo varían las propiedades específicas de diversas sustancias en función de dichas interacciones. </w:t>
            </w:r>
          </w:p>
          <w:p w:rsidR="00055814" w:rsidRPr="009926E9" w:rsidRDefault="00055814" w:rsidP="008F3177">
            <w:pPr>
              <w:tabs>
                <w:tab w:val="right" w:pos="1400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26E9">
              <w:rPr>
                <w:rFonts w:ascii="Times New Roman" w:hAnsi="Times New Roman" w:cs="Times New Roman"/>
                <w:color w:val="000000"/>
              </w:rPr>
              <w:t xml:space="preserve">15.1. Compara la energía de los enlaces </w:t>
            </w:r>
            <w:proofErr w:type="spellStart"/>
            <w:r w:rsidRPr="009926E9">
              <w:rPr>
                <w:rFonts w:ascii="Times New Roman" w:hAnsi="Times New Roman" w:cs="Times New Roman"/>
                <w:color w:val="000000"/>
              </w:rPr>
              <w:t>intramoleculares</w:t>
            </w:r>
            <w:proofErr w:type="spellEnd"/>
            <w:r w:rsidRPr="009926E9">
              <w:rPr>
                <w:rFonts w:ascii="Times New Roman" w:hAnsi="Times New Roman" w:cs="Times New Roman"/>
                <w:color w:val="000000"/>
              </w:rPr>
              <w:t xml:space="preserve"> en relación con la energía correspondiente a las fuerzas intermoleculares justificando el comportamiento fisicoquímico de las moléculas.</w:t>
            </w:r>
          </w:p>
        </w:tc>
      </w:tr>
    </w:tbl>
    <w:p w:rsidR="00055814" w:rsidRPr="00055814" w:rsidRDefault="00055814">
      <w:pPr>
        <w:rPr>
          <w:b/>
        </w:rPr>
      </w:pPr>
    </w:p>
    <w:sectPr w:rsidR="00055814" w:rsidRPr="00055814" w:rsidSect="003F4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814"/>
    <w:rsid w:val="00055814"/>
    <w:rsid w:val="003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979</Words>
  <Characters>5388</Characters>
  <Application>Microsoft Office Word</Application>
  <DocSecurity>0</DocSecurity>
  <Lines>44</Lines>
  <Paragraphs>12</Paragraphs>
  <ScaleCrop>false</ScaleCrop>
  <Company>RevolucionUnattended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2017-11-27T18:11:00Z</dcterms:created>
  <dcterms:modified xsi:type="dcterms:W3CDTF">2017-11-27T18:19:00Z</dcterms:modified>
</cp:coreProperties>
</file>